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02BA8" w14:textId="60FA510D" w:rsidR="007B6B09" w:rsidRDefault="00514628" w:rsidP="007B6B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Anti-</w:t>
      </w:r>
      <w:r w:rsidR="00AF0815">
        <w:rPr>
          <w:b/>
          <w:sz w:val="28"/>
          <w:szCs w:val="28"/>
          <w:u w:val="single"/>
        </w:rPr>
        <w:t>B</w:t>
      </w:r>
      <w:r w:rsidR="007B6B09" w:rsidRPr="007B6B09">
        <w:rPr>
          <w:b/>
          <w:sz w:val="28"/>
          <w:szCs w:val="28"/>
          <w:u w:val="single"/>
        </w:rPr>
        <w:t xml:space="preserve">ribery </w:t>
      </w:r>
      <w:r w:rsidR="005940EF">
        <w:rPr>
          <w:b/>
          <w:sz w:val="28"/>
          <w:szCs w:val="28"/>
          <w:u w:val="single"/>
        </w:rPr>
        <w:t xml:space="preserve">and Anti–Corruption </w:t>
      </w:r>
      <w:r w:rsidR="00AF0815">
        <w:rPr>
          <w:b/>
          <w:sz w:val="28"/>
          <w:szCs w:val="28"/>
          <w:u w:val="single"/>
        </w:rPr>
        <w:t>P</w:t>
      </w:r>
      <w:r w:rsidR="00AF0815" w:rsidRPr="007B6B09">
        <w:rPr>
          <w:b/>
          <w:sz w:val="28"/>
          <w:szCs w:val="28"/>
          <w:u w:val="single"/>
        </w:rPr>
        <w:t>oli</w:t>
      </w:r>
      <w:r w:rsidR="005940EF">
        <w:rPr>
          <w:b/>
          <w:sz w:val="28"/>
          <w:szCs w:val="28"/>
          <w:u w:val="single"/>
        </w:rPr>
        <w:t>cy</w:t>
      </w:r>
    </w:p>
    <w:p w14:paraId="6F179396" w14:textId="77777777" w:rsidR="005940EF" w:rsidRDefault="005940EF" w:rsidP="007B6B09">
      <w:pPr>
        <w:rPr>
          <w:b/>
          <w:sz w:val="28"/>
          <w:szCs w:val="28"/>
          <w:u w:val="single"/>
        </w:rPr>
      </w:pPr>
    </w:p>
    <w:p w14:paraId="77CAB198" w14:textId="77777777" w:rsidR="005940EF" w:rsidRPr="00AF0815" w:rsidRDefault="00D9777B" w:rsidP="007B6B09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07C5B" wp14:editId="5AFF9E1A">
                <wp:simplePos x="0" y="0"/>
                <wp:positionH relativeFrom="column">
                  <wp:posOffset>-180976</wp:posOffset>
                </wp:positionH>
                <wp:positionV relativeFrom="paragraph">
                  <wp:posOffset>84455</wp:posOffset>
                </wp:positionV>
                <wp:extent cx="5991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48A4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6.65pt" to="457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" strokecolor="#4579b8 [3044]"/>
            </w:pict>
          </mc:Fallback>
        </mc:AlternateContent>
      </w:r>
    </w:p>
    <w:p w14:paraId="360C1745" w14:textId="77777777" w:rsidR="00D9777B" w:rsidRDefault="00D9777B" w:rsidP="007B6B09">
      <w:pPr>
        <w:rPr>
          <w:b/>
          <w:sz w:val="24"/>
          <w:szCs w:val="24"/>
          <w:u w:val="single"/>
        </w:rPr>
      </w:pPr>
    </w:p>
    <w:p w14:paraId="08E58012" w14:textId="77777777" w:rsidR="00533B3A" w:rsidRDefault="00533B3A" w:rsidP="007B6B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Introduction</w:t>
      </w:r>
    </w:p>
    <w:p w14:paraId="676EE962" w14:textId="77777777" w:rsidR="00861EE2" w:rsidRDefault="00861EE2" w:rsidP="007B6B09">
      <w:pPr>
        <w:rPr>
          <w:b/>
          <w:sz w:val="24"/>
          <w:szCs w:val="24"/>
          <w:u w:val="single"/>
        </w:rPr>
      </w:pPr>
    </w:p>
    <w:p w14:paraId="24FC534F" w14:textId="77777777" w:rsidR="003B42C5" w:rsidRDefault="00F03B0D" w:rsidP="00AE5A95">
      <w:pPr>
        <w:rPr>
          <w:sz w:val="24"/>
          <w:szCs w:val="24"/>
        </w:rPr>
      </w:pPr>
      <w:r>
        <w:rPr>
          <w:sz w:val="24"/>
          <w:szCs w:val="24"/>
        </w:rPr>
        <w:t xml:space="preserve">The 2010 Bribery Act places a statutory obligation on organisations to ensure that </w:t>
      </w:r>
      <w:r w:rsidR="003B42C5">
        <w:rPr>
          <w:sz w:val="24"/>
          <w:szCs w:val="24"/>
        </w:rPr>
        <w:t xml:space="preserve">they have policies and procedures in place to prevent bribery and corruption in its activities. A ‘Quick Start Guide’ to  the Act can be found at </w:t>
      </w:r>
      <w:hyperlink r:id="rId7" w:history="1">
        <w:r w:rsidR="003B42C5" w:rsidRPr="00C10B40">
          <w:rPr>
            <w:rStyle w:val="Hyperlink"/>
            <w:sz w:val="24"/>
            <w:szCs w:val="24"/>
          </w:rPr>
          <w:t>https://www.justice.gov.uk/downloads/legislation/bribery-act-2010-quick-start-guide.pdf</w:t>
        </w:r>
      </w:hyperlink>
      <w:r w:rsidR="003B42C5">
        <w:rPr>
          <w:sz w:val="24"/>
          <w:szCs w:val="24"/>
        </w:rPr>
        <w:t xml:space="preserve"> </w:t>
      </w:r>
    </w:p>
    <w:p w14:paraId="7F14B717" w14:textId="77777777" w:rsidR="003B42C5" w:rsidRDefault="003B42C5" w:rsidP="00AE5A95">
      <w:pPr>
        <w:rPr>
          <w:sz w:val="24"/>
          <w:szCs w:val="24"/>
        </w:rPr>
      </w:pPr>
    </w:p>
    <w:p w14:paraId="58C0F2CD" w14:textId="77777777" w:rsidR="001A3D8C" w:rsidRDefault="007C42E2" w:rsidP="00AE5A95">
      <w:pPr>
        <w:rPr>
          <w:sz w:val="24"/>
          <w:szCs w:val="24"/>
        </w:rPr>
      </w:pPr>
      <w:r>
        <w:rPr>
          <w:sz w:val="24"/>
          <w:szCs w:val="24"/>
        </w:rPr>
        <w:t>The British Accreditation Council (</w:t>
      </w:r>
      <w:r w:rsidR="00533B3A">
        <w:rPr>
          <w:sz w:val="24"/>
          <w:szCs w:val="24"/>
        </w:rPr>
        <w:t>BAC</w:t>
      </w:r>
      <w:r>
        <w:rPr>
          <w:sz w:val="24"/>
          <w:szCs w:val="24"/>
        </w:rPr>
        <w:t>)</w:t>
      </w:r>
      <w:r w:rsidR="00533B3A">
        <w:rPr>
          <w:sz w:val="24"/>
          <w:szCs w:val="24"/>
        </w:rPr>
        <w:t xml:space="preserve"> is committed to maintaining the highest level of ethical standards in the conduct </w:t>
      </w:r>
      <w:r w:rsidR="00903E0C">
        <w:rPr>
          <w:sz w:val="24"/>
          <w:szCs w:val="24"/>
        </w:rPr>
        <w:t>of its activities and to act</w:t>
      </w:r>
      <w:r w:rsidR="00AE5A95">
        <w:rPr>
          <w:sz w:val="24"/>
          <w:szCs w:val="24"/>
        </w:rPr>
        <w:t xml:space="preserve"> professionally, fairly and with integrity in all our activities,</w:t>
      </w:r>
      <w:r w:rsidR="00452AE9">
        <w:rPr>
          <w:sz w:val="24"/>
          <w:szCs w:val="24"/>
        </w:rPr>
        <w:t xml:space="preserve"> both in the United Kingdom (UK) and internationally.</w:t>
      </w:r>
      <w:r w:rsidR="00AE5A95">
        <w:rPr>
          <w:sz w:val="24"/>
          <w:szCs w:val="24"/>
        </w:rPr>
        <w:t xml:space="preserve"> Therefore, </w:t>
      </w:r>
      <w:r w:rsidR="00CD0AB9">
        <w:rPr>
          <w:sz w:val="24"/>
          <w:szCs w:val="24"/>
        </w:rPr>
        <w:t xml:space="preserve">whilst recognising that this presents a low risk, </w:t>
      </w:r>
      <w:r w:rsidR="00AE5A95">
        <w:rPr>
          <w:sz w:val="24"/>
          <w:szCs w:val="24"/>
        </w:rPr>
        <w:t xml:space="preserve">we are committed to </w:t>
      </w:r>
      <w:r w:rsidR="00AE5A95" w:rsidRPr="00533B3A">
        <w:rPr>
          <w:sz w:val="24"/>
          <w:szCs w:val="24"/>
        </w:rPr>
        <w:t>implementing and enforc</w:t>
      </w:r>
      <w:r w:rsidR="00CD0AB9">
        <w:rPr>
          <w:sz w:val="24"/>
          <w:szCs w:val="24"/>
        </w:rPr>
        <w:t>ing effective systems to ensure that</w:t>
      </w:r>
      <w:r w:rsidR="00AE5A95" w:rsidRPr="00533B3A">
        <w:rPr>
          <w:sz w:val="24"/>
          <w:szCs w:val="24"/>
        </w:rPr>
        <w:t xml:space="preserve"> bribery</w:t>
      </w:r>
      <w:r w:rsidR="00AE5A95">
        <w:rPr>
          <w:sz w:val="24"/>
          <w:szCs w:val="24"/>
        </w:rPr>
        <w:t xml:space="preserve"> and corruption</w:t>
      </w:r>
      <w:r w:rsidR="00CD0AB9">
        <w:rPr>
          <w:sz w:val="24"/>
          <w:szCs w:val="24"/>
        </w:rPr>
        <w:t xml:space="preserve"> play</w:t>
      </w:r>
      <w:r w:rsidR="00075B67">
        <w:rPr>
          <w:sz w:val="24"/>
          <w:szCs w:val="24"/>
        </w:rPr>
        <w:t xml:space="preserve"> no part</w:t>
      </w:r>
      <w:r w:rsidR="00CD0AB9">
        <w:rPr>
          <w:sz w:val="24"/>
          <w:szCs w:val="24"/>
        </w:rPr>
        <w:t xml:space="preserve"> in how we conduct our affairs</w:t>
      </w:r>
      <w:r w:rsidR="003B42C5">
        <w:rPr>
          <w:sz w:val="24"/>
          <w:szCs w:val="24"/>
        </w:rPr>
        <w:t xml:space="preserve"> and that we are compliant with the requirements of the Act</w:t>
      </w:r>
      <w:r w:rsidR="00AE5A95">
        <w:rPr>
          <w:sz w:val="24"/>
          <w:szCs w:val="24"/>
        </w:rPr>
        <w:t>.</w:t>
      </w:r>
    </w:p>
    <w:p w14:paraId="7D2F8FA4" w14:textId="77777777" w:rsidR="001A3D8C" w:rsidRDefault="001A3D8C" w:rsidP="00AE5A95">
      <w:pPr>
        <w:rPr>
          <w:sz w:val="24"/>
          <w:szCs w:val="24"/>
        </w:rPr>
      </w:pPr>
    </w:p>
    <w:p w14:paraId="24A6795F" w14:textId="77777777" w:rsidR="00AE5A95" w:rsidRDefault="003B42C5" w:rsidP="006C4CDE">
      <w:pPr>
        <w:spacing w:after="360"/>
        <w:rPr>
          <w:sz w:val="24"/>
          <w:szCs w:val="24"/>
        </w:rPr>
      </w:pPr>
      <w:r>
        <w:rPr>
          <w:sz w:val="24"/>
          <w:szCs w:val="24"/>
        </w:rPr>
        <w:t>S</w:t>
      </w:r>
      <w:r w:rsidR="001A3D8C">
        <w:rPr>
          <w:sz w:val="24"/>
          <w:szCs w:val="24"/>
        </w:rPr>
        <w:t xml:space="preserve">o far as inspectors are concerned, the code of conduct </w:t>
      </w:r>
      <w:r>
        <w:rPr>
          <w:sz w:val="24"/>
          <w:szCs w:val="24"/>
        </w:rPr>
        <w:t>that they sign</w:t>
      </w:r>
      <w:r w:rsidR="00075B67">
        <w:rPr>
          <w:sz w:val="24"/>
          <w:szCs w:val="24"/>
        </w:rPr>
        <w:t xml:space="preserve"> includes references to standards of personal conduct and a specific reference to </w:t>
      </w:r>
      <w:r w:rsidR="00075B67" w:rsidRPr="00075B67">
        <w:rPr>
          <w:sz w:val="24"/>
          <w:szCs w:val="24"/>
          <w:lang w:val="en-US"/>
        </w:rPr>
        <w:t>guard</w:t>
      </w:r>
      <w:r w:rsidR="00075B67">
        <w:rPr>
          <w:sz w:val="24"/>
          <w:szCs w:val="24"/>
          <w:lang w:val="en-US"/>
        </w:rPr>
        <w:t>ing</w:t>
      </w:r>
      <w:r w:rsidR="00075B67" w:rsidRPr="00075B67">
        <w:rPr>
          <w:sz w:val="24"/>
          <w:szCs w:val="24"/>
          <w:lang w:val="en-US"/>
        </w:rPr>
        <w:t xml:space="preserve"> against circumstances which might compromise </w:t>
      </w:r>
      <w:r w:rsidR="00075B67">
        <w:rPr>
          <w:sz w:val="24"/>
          <w:szCs w:val="24"/>
          <w:lang w:val="en-US"/>
        </w:rPr>
        <w:t xml:space="preserve">an inspector’s </w:t>
      </w:r>
      <w:r w:rsidR="00075B67" w:rsidRPr="00075B67">
        <w:rPr>
          <w:sz w:val="24"/>
          <w:szCs w:val="24"/>
          <w:lang w:val="en-US"/>
        </w:rPr>
        <w:t>personal integrity</w:t>
      </w:r>
      <w:r w:rsidR="00075B67">
        <w:rPr>
          <w:sz w:val="24"/>
          <w:szCs w:val="24"/>
          <w:lang w:val="en-US"/>
        </w:rPr>
        <w:t>. It mentions</w:t>
      </w:r>
      <w:r w:rsidR="006C4CDE">
        <w:rPr>
          <w:sz w:val="24"/>
          <w:szCs w:val="24"/>
          <w:lang w:val="en-US"/>
        </w:rPr>
        <w:t>,</w:t>
      </w:r>
      <w:r w:rsidR="00075B67">
        <w:rPr>
          <w:sz w:val="24"/>
          <w:szCs w:val="24"/>
          <w:lang w:val="en-US"/>
        </w:rPr>
        <w:t xml:space="preserve"> particularly</w:t>
      </w:r>
      <w:r w:rsidR="006C4CDE">
        <w:rPr>
          <w:sz w:val="24"/>
          <w:szCs w:val="24"/>
          <w:lang w:val="en-US"/>
        </w:rPr>
        <w:t>,</w:t>
      </w:r>
      <w:r w:rsidR="00075B67">
        <w:rPr>
          <w:sz w:val="24"/>
          <w:szCs w:val="24"/>
          <w:lang w:val="en-US"/>
        </w:rPr>
        <w:t xml:space="preserve"> that inspectors shall not </w:t>
      </w:r>
      <w:r w:rsidR="00075B67" w:rsidRPr="00075B67">
        <w:rPr>
          <w:sz w:val="24"/>
          <w:szCs w:val="24"/>
          <w:lang w:val="en-US"/>
        </w:rPr>
        <w:t xml:space="preserve">accept inducements to show </w:t>
      </w:r>
      <w:proofErr w:type="spellStart"/>
      <w:r w:rsidR="00075B67" w:rsidRPr="00075B67">
        <w:rPr>
          <w:sz w:val="24"/>
          <w:szCs w:val="24"/>
          <w:lang w:val="en-US"/>
        </w:rPr>
        <w:t>favour</w:t>
      </w:r>
      <w:proofErr w:type="spellEnd"/>
      <w:r w:rsidR="00075B67">
        <w:rPr>
          <w:sz w:val="24"/>
          <w:szCs w:val="24"/>
          <w:lang w:val="en-US"/>
        </w:rPr>
        <w:t>.</w:t>
      </w:r>
      <w:r w:rsidR="00452AE9">
        <w:rPr>
          <w:sz w:val="24"/>
          <w:szCs w:val="24"/>
        </w:rPr>
        <w:t xml:space="preserve"> </w:t>
      </w:r>
    </w:p>
    <w:p w14:paraId="218AEF7B" w14:textId="77777777" w:rsidR="001A3D8C" w:rsidRDefault="00533B3A" w:rsidP="00533B3A">
      <w:pPr>
        <w:rPr>
          <w:b/>
          <w:sz w:val="24"/>
          <w:szCs w:val="24"/>
        </w:rPr>
      </w:pPr>
      <w:r w:rsidRPr="00533B3A">
        <w:rPr>
          <w:sz w:val="24"/>
          <w:szCs w:val="24"/>
        </w:rPr>
        <w:t>The purpose of this document</w:t>
      </w:r>
      <w:r w:rsidR="006C4CDE">
        <w:rPr>
          <w:sz w:val="24"/>
          <w:szCs w:val="24"/>
        </w:rPr>
        <w:t>, therefore,</w:t>
      </w:r>
      <w:r w:rsidRPr="00533B3A">
        <w:rPr>
          <w:sz w:val="24"/>
          <w:szCs w:val="24"/>
        </w:rPr>
        <w:t xml:space="preserve"> is to </w:t>
      </w:r>
      <w:r w:rsidR="006C4CDE">
        <w:rPr>
          <w:sz w:val="24"/>
          <w:szCs w:val="24"/>
        </w:rPr>
        <w:t xml:space="preserve">build on the inspectors’ code of conduct and to </w:t>
      </w:r>
      <w:r w:rsidRPr="00533B3A">
        <w:rPr>
          <w:sz w:val="24"/>
          <w:szCs w:val="24"/>
        </w:rPr>
        <w:t xml:space="preserve">set out </w:t>
      </w:r>
      <w:r w:rsidR="00CD0AB9">
        <w:rPr>
          <w:sz w:val="24"/>
          <w:szCs w:val="24"/>
        </w:rPr>
        <w:t xml:space="preserve">BAC’s </w:t>
      </w:r>
      <w:r w:rsidRPr="00533B3A">
        <w:rPr>
          <w:sz w:val="24"/>
          <w:szCs w:val="24"/>
        </w:rPr>
        <w:t>policy in relation to bribery and corruption</w:t>
      </w:r>
      <w:r w:rsidR="006C4CDE">
        <w:rPr>
          <w:sz w:val="24"/>
          <w:szCs w:val="24"/>
        </w:rPr>
        <w:t xml:space="preserve">, which applies </w:t>
      </w:r>
      <w:r w:rsidRPr="00533B3A">
        <w:rPr>
          <w:sz w:val="24"/>
          <w:szCs w:val="24"/>
        </w:rPr>
        <w:t xml:space="preserve">strictly </w:t>
      </w:r>
      <w:r w:rsidRPr="00903E0C">
        <w:rPr>
          <w:b/>
          <w:sz w:val="24"/>
          <w:szCs w:val="24"/>
        </w:rPr>
        <w:t xml:space="preserve">to all </w:t>
      </w:r>
      <w:r w:rsidR="003B42C5">
        <w:rPr>
          <w:b/>
          <w:sz w:val="24"/>
          <w:szCs w:val="24"/>
        </w:rPr>
        <w:t xml:space="preserve">Trustees, </w:t>
      </w:r>
      <w:r w:rsidRPr="00903E0C">
        <w:rPr>
          <w:b/>
          <w:sz w:val="24"/>
          <w:szCs w:val="24"/>
        </w:rPr>
        <w:t>employees, agents, consultants</w:t>
      </w:r>
      <w:r w:rsidR="006C4CDE" w:rsidRPr="00903E0C">
        <w:rPr>
          <w:b/>
          <w:sz w:val="24"/>
          <w:szCs w:val="24"/>
        </w:rPr>
        <w:t xml:space="preserve">, </w:t>
      </w:r>
      <w:r w:rsidRPr="00903E0C">
        <w:rPr>
          <w:b/>
          <w:sz w:val="24"/>
          <w:szCs w:val="24"/>
        </w:rPr>
        <w:t>contractors and</w:t>
      </w:r>
      <w:r w:rsidR="00B65D08" w:rsidRPr="00903E0C">
        <w:rPr>
          <w:b/>
          <w:sz w:val="24"/>
          <w:szCs w:val="24"/>
        </w:rPr>
        <w:t xml:space="preserve"> inspectors</w:t>
      </w:r>
      <w:r w:rsidRPr="00903E0C">
        <w:rPr>
          <w:b/>
          <w:sz w:val="24"/>
          <w:szCs w:val="24"/>
        </w:rPr>
        <w:t xml:space="preserve"> </w:t>
      </w:r>
      <w:r w:rsidR="006C4CDE" w:rsidRPr="00903E0C">
        <w:rPr>
          <w:b/>
          <w:sz w:val="24"/>
          <w:szCs w:val="24"/>
        </w:rPr>
        <w:t xml:space="preserve">as well as </w:t>
      </w:r>
      <w:r w:rsidRPr="00903E0C">
        <w:rPr>
          <w:b/>
          <w:sz w:val="24"/>
          <w:szCs w:val="24"/>
        </w:rPr>
        <w:t xml:space="preserve">to any other people or bodies associated with </w:t>
      </w:r>
      <w:r w:rsidR="00B65D08" w:rsidRPr="00903E0C">
        <w:rPr>
          <w:b/>
          <w:sz w:val="24"/>
          <w:szCs w:val="24"/>
        </w:rPr>
        <w:t>BAC.</w:t>
      </w:r>
    </w:p>
    <w:p w14:paraId="6A11FD79" w14:textId="77777777" w:rsidR="00861EE2" w:rsidRPr="00903E0C" w:rsidRDefault="00861EE2" w:rsidP="00533B3A">
      <w:pPr>
        <w:rPr>
          <w:b/>
          <w:sz w:val="24"/>
          <w:szCs w:val="24"/>
        </w:rPr>
      </w:pPr>
    </w:p>
    <w:p w14:paraId="4F360936" w14:textId="77777777" w:rsidR="00B65D08" w:rsidRDefault="00B65D08" w:rsidP="00B65D08">
      <w:pPr>
        <w:rPr>
          <w:b/>
          <w:sz w:val="24"/>
          <w:szCs w:val="24"/>
          <w:u w:val="single"/>
        </w:rPr>
      </w:pPr>
      <w:r w:rsidRPr="00B65D08">
        <w:rPr>
          <w:b/>
          <w:sz w:val="24"/>
          <w:szCs w:val="24"/>
          <w:u w:val="single"/>
        </w:rPr>
        <w:t>Understanding and recognising bribery and corruption  </w:t>
      </w:r>
    </w:p>
    <w:p w14:paraId="670C38ED" w14:textId="77777777" w:rsidR="00861EE2" w:rsidRPr="00B65D08" w:rsidRDefault="00861EE2" w:rsidP="00B65D08">
      <w:pPr>
        <w:rPr>
          <w:b/>
          <w:sz w:val="24"/>
          <w:szCs w:val="24"/>
          <w:u w:val="single"/>
        </w:rPr>
      </w:pPr>
    </w:p>
    <w:p w14:paraId="5AF0D3E8" w14:textId="77777777" w:rsidR="00B65D08" w:rsidRPr="00B65D08" w:rsidRDefault="00B65D08" w:rsidP="00B65D08">
      <w:pPr>
        <w:rPr>
          <w:sz w:val="24"/>
          <w:szCs w:val="24"/>
        </w:rPr>
      </w:pPr>
      <w:r w:rsidRPr="00B65D08">
        <w:rPr>
          <w:sz w:val="24"/>
          <w:szCs w:val="24"/>
        </w:rPr>
        <w:t>Acts of bribery or corruption are designed to influence an individual in the performance of their duty and incline them to act in a way that a reasonable person would consider to be dishonest in the circumstances. </w:t>
      </w:r>
    </w:p>
    <w:p w14:paraId="7AFFE9BE" w14:textId="77777777" w:rsidR="002E764C" w:rsidRDefault="002E764C" w:rsidP="00B65D08">
      <w:pPr>
        <w:rPr>
          <w:sz w:val="24"/>
          <w:szCs w:val="24"/>
        </w:rPr>
      </w:pPr>
    </w:p>
    <w:p w14:paraId="63FE5621" w14:textId="43930A53" w:rsidR="00B65D08" w:rsidRPr="00B65D08" w:rsidRDefault="00B65D08" w:rsidP="00B65D08">
      <w:pPr>
        <w:rPr>
          <w:sz w:val="24"/>
          <w:szCs w:val="24"/>
        </w:rPr>
      </w:pPr>
      <w:r w:rsidRPr="00B65D08">
        <w:rPr>
          <w:sz w:val="24"/>
          <w:szCs w:val="24"/>
        </w:rPr>
        <w:t xml:space="preserve">Bribery can be defined as </w:t>
      </w:r>
      <w:r>
        <w:rPr>
          <w:sz w:val="24"/>
          <w:szCs w:val="24"/>
        </w:rPr>
        <w:t>“</w:t>
      </w:r>
      <w:r w:rsidRPr="00B65D08">
        <w:rPr>
          <w:sz w:val="24"/>
          <w:szCs w:val="24"/>
        </w:rPr>
        <w:t xml:space="preserve">offering, promising or giving a financial or other advantage to another person with the intention of inducing or rewarding that person to act or for having acted in a way which a reasonable person would consider improper in the </w:t>
      </w:r>
      <w:r>
        <w:rPr>
          <w:sz w:val="24"/>
          <w:szCs w:val="24"/>
        </w:rPr>
        <w:t>c</w:t>
      </w:r>
      <w:r w:rsidRPr="00B65D08">
        <w:rPr>
          <w:sz w:val="24"/>
          <w:szCs w:val="24"/>
        </w:rPr>
        <w:t>ircumstances</w:t>
      </w:r>
      <w:r>
        <w:rPr>
          <w:sz w:val="24"/>
          <w:szCs w:val="24"/>
        </w:rPr>
        <w:t>”</w:t>
      </w:r>
      <w:r w:rsidRPr="00B65D08">
        <w:rPr>
          <w:sz w:val="24"/>
          <w:szCs w:val="24"/>
        </w:rPr>
        <w:t>.  Corruption is any form of abuse of entrusted power for private gain and may include, but is not limited to, bribery.</w:t>
      </w:r>
    </w:p>
    <w:p w14:paraId="7640F495" w14:textId="77777777" w:rsidR="002E764C" w:rsidRDefault="002E764C" w:rsidP="00B65D08">
      <w:pPr>
        <w:rPr>
          <w:sz w:val="24"/>
          <w:szCs w:val="24"/>
        </w:rPr>
      </w:pPr>
    </w:p>
    <w:p w14:paraId="2F3B0A94" w14:textId="46B704D3" w:rsidR="00B65D08" w:rsidRDefault="00B65D08" w:rsidP="00B65D08">
      <w:pPr>
        <w:rPr>
          <w:sz w:val="24"/>
          <w:szCs w:val="24"/>
        </w:rPr>
      </w:pPr>
      <w:r w:rsidRPr="00B65D08">
        <w:rPr>
          <w:sz w:val="24"/>
          <w:szCs w:val="24"/>
        </w:rPr>
        <w:t>Bribes are not always a matter of handing over cash.  Gifts, hospitality and entertainment can be bribes if they are intended to influence a decision.</w:t>
      </w:r>
    </w:p>
    <w:p w14:paraId="07119A66" w14:textId="77777777" w:rsidR="00861EE2" w:rsidRDefault="00861EE2" w:rsidP="00B65D08">
      <w:pPr>
        <w:rPr>
          <w:b/>
          <w:sz w:val="24"/>
          <w:szCs w:val="24"/>
          <w:u w:val="single"/>
        </w:rPr>
      </w:pPr>
    </w:p>
    <w:p w14:paraId="08937C23" w14:textId="77777777" w:rsidR="002E764C" w:rsidRDefault="002E764C" w:rsidP="00B65D08">
      <w:pPr>
        <w:rPr>
          <w:b/>
          <w:sz w:val="24"/>
          <w:szCs w:val="24"/>
          <w:u w:val="single"/>
        </w:rPr>
      </w:pPr>
    </w:p>
    <w:p w14:paraId="5007ACF2" w14:textId="77777777" w:rsidR="0008209C" w:rsidRDefault="0008209C" w:rsidP="00B65D08">
      <w:pPr>
        <w:rPr>
          <w:b/>
          <w:sz w:val="24"/>
          <w:szCs w:val="24"/>
          <w:u w:val="single"/>
        </w:rPr>
      </w:pPr>
    </w:p>
    <w:p w14:paraId="19825C19" w14:textId="77777777" w:rsidR="0008209C" w:rsidRDefault="0008209C" w:rsidP="00B65D08">
      <w:pPr>
        <w:rPr>
          <w:b/>
          <w:sz w:val="24"/>
          <w:szCs w:val="24"/>
          <w:u w:val="single"/>
        </w:rPr>
      </w:pPr>
    </w:p>
    <w:p w14:paraId="4E7575C5" w14:textId="77777777" w:rsidR="0008209C" w:rsidRDefault="0008209C" w:rsidP="00B65D08">
      <w:pPr>
        <w:rPr>
          <w:b/>
          <w:sz w:val="24"/>
          <w:szCs w:val="24"/>
          <w:u w:val="single"/>
        </w:rPr>
      </w:pPr>
    </w:p>
    <w:p w14:paraId="495CEB3C" w14:textId="3913FA48" w:rsidR="00214C15" w:rsidRDefault="00214C15" w:rsidP="00B65D08">
      <w:pPr>
        <w:rPr>
          <w:b/>
          <w:sz w:val="24"/>
          <w:szCs w:val="24"/>
          <w:u w:val="single"/>
        </w:rPr>
      </w:pPr>
      <w:r w:rsidRPr="00214C15">
        <w:rPr>
          <w:b/>
          <w:sz w:val="24"/>
          <w:szCs w:val="24"/>
          <w:u w:val="single"/>
        </w:rPr>
        <w:lastRenderedPageBreak/>
        <w:t>BAC’s policy</w:t>
      </w:r>
    </w:p>
    <w:p w14:paraId="0CB92EC6" w14:textId="77777777" w:rsidR="00861EE2" w:rsidRDefault="00861EE2" w:rsidP="00B65D08">
      <w:pPr>
        <w:rPr>
          <w:b/>
          <w:sz w:val="24"/>
          <w:szCs w:val="24"/>
          <w:u w:val="single"/>
        </w:rPr>
      </w:pPr>
    </w:p>
    <w:p w14:paraId="37440A77" w14:textId="77777777" w:rsidR="00214C15" w:rsidRDefault="00031D92" w:rsidP="00214C15">
      <w:pPr>
        <w:rPr>
          <w:sz w:val="24"/>
          <w:szCs w:val="24"/>
        </w:rPr>
      </w:pPr>
      <w:r>
        <w:rPr>
          <w:sz w:val="24"/>
          <w:szCs w:val="24"/>
        </w:rPr>
        <w:t>BAC</w:t>
      </w:r>
      <w:r w:rsidR="00214C15" w:rsidRPr="00214C15">
        <w:rPr>
          <w:sz w:val="24"/>
          <w:szCs w:val="24"/>
        </w:rPr>
        <w:t xml:space="preserve"> prohibits the offering, giving, solicitation or the acceptance of any bribe or corrupt inducement, whether in cash or in any other form</w:t>
      </w:r>
      <w:r>
        <w:rPr>
          <w:sz w:val="24"/>
          <w:szCs w:val="24"/>
        </w:rPr>
        <w:t>.</w:t>
      </w:r>
    </w:p>
    <w:p w14:paraId="48525B56" w14:textId="77777777" w:rsidR="00861EE2" w:rsidRDefault="00861EE2" w:rsidP="00214C15">
      <w:pPr>
        <w:rPr>
          <w:b/>
          <w:sz w:val="24"/>
          <w:szCs w:val="24"/>
        </w:rPr>
      </w:pPr>
    </w:p>
    <w:p w14:paraId="1A86BF7F" w14:textId="77777777" w:rsidR="007623FA" w:rsidRDefault="007623FA" w:rsidP="00214C15">
      <w:pPr>
        <w:rPr>
          <w:sz w:val="24"/>
          <w:szCs w:val="24"/>
        </w:rPr>
      </w:pPr>
      <w:r w:rsidRPr="00AF0815">
        <w:rPr>
          <w:b/>
          <w:sz w:val="24"/>
          <w:szCs w:val="24"/>
        </w:rPr>
        <w:t>For inspectors,</w:t>
      </w:r>
      <w:r w:rsidR="00903E0C" w:rsidRPr="00AF0815">
        <w:rPr>
          <w:b/>
          <w:sz w:val="24"/>
          <w:szCs w:val="24"/>
        </w:rPr>
        <w:t xml:space="preserve"> consultants, agents and contractors such</w:t>
      </w:r>
      <w:r w:rsidRPr="00AF0815">
        <w:rPr>
          <w:b/>
          <w:sz w:val="24"/>
          <w:szCs w:val="24"/>
        </w:rPr>
        <w:t xml:space="preserve"> inducements</w:t>
      </w:r>
      <w:r w:rsidR="00031D92" w:rsidRPr="00AF0815">
        <w:rPr>
          <w:b/>
          <w:sz w:val="24"/>
          <w:szCs w:val="24"/>
        </w:rPr>
        <w:t xml:space="preserve"> would include the </w:t>
      </w:r>
      <w:r w:rsidRPr="00AF0815">
        <w:rPr>
          <w:b/>
          <w:sz w:val="24"/>
          <w:szCs w:val="24"/>
        </w:rPr>
        <w:t>following</w:t>
      </w:r>
      <w:r>
        <w:rPr>
          <w:sz w:val="24"/>
          <w:szCs w:val="24"/>
        </w:rPr>
        <w:t>:</w:t>
      </w:r>
    </w:p>
    <w:p w14:paraId="3E6D2907" w14:textId="77777777" w:rsidR="00861EE2" w:rsidRDefault="00861EE2" w:rsidP="00214C15">
      <w:pPr>
        <w:rPr>
          <w:sz w:val="24"/>
          <w:szCs w:val="24"/>
        </w:rPr>
      </w:pPr>
    </w:p>
    <w:p w14:paraId="7CCBCCBA" w14:textId="77777777" w:rsidR="00031D92" w:rsidRDefault="007623FA" w:rsidP="006F178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1786">
        <w:rPr>
          <w:sz w:val="24"/>
          <w:szCs w:val="24"/>
        </w:rPr>
        <w:t xml:space="preserve">The </w:t>
      </w:r>
      <w:r w:rsidR="00031D92" w:rsidRPr="006F1786">
        <w:rPr>
          <w:sz w:val="24"/>
          <w:szCs w:val="24"/>
        </w:rPr>
        <w:t xml:space="preserve">acceptance of gifts, other than low value gifts such as branded pens, notebooks and coffee mugs. </w:t>
      </w:r>
    </w:p>
    <w:p w14:paraId="3179FDF2" w14:textId="77777777" w:rsidR="00903E0C" w:rsidRDefault="00903E0C" w:rsidP="006F17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acceptance of any financial inducement</w:t>
      </w:r>
    </w:p>
    <w:p w14:paraId="301008DA" w14:textId="77777777" w:rsidR="00903E0C" w:rsidRPr="006F1786" w:rsidRDefault="00903E0C" w:rsidP="006F17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offer of employment or consultancy work in return for </w:t>
      </w:r>
      <w:r w:rsidR="000E55AB">
        <w:rPr>
          <w:sz w:val="24"/>
          <w:szCs w:val="24"/>
        </w:rPr>
        <w:t xml:space="preserve">interpreting inspection evidence in a favourable </w:t>
      </w:r>
      <w:r w:rsidR="00E87F70">
        <w:rPr>
          <w:sz w:val="24"/>
          <w:szCs w:val="24"/>
        </w:rPr>
        <w:t xml:space="preserve">(or unfavourable) </w:t>
      </w:r>
      <w:r w:rsidR="000E55AB">
        <w:rPr>
          <w:sz w:val="24"/>
          <w:szCs w:val="24"/>
        </w:rPr>
        <w:t>light</w:t>
      </w:r>
    </w:p>
    <w:p w14:paraId="72306829" w14:textId="77777777" w:rsidR="00031D92" w:rsidRPr="006F1786" w:rsidRDefault="007623FA" w:rsidP="006F178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1786">
        <w:rPr>
          <w:sz w:val="24"/>
          <w:szCs w:val="24"/>
        </w:rPr>
        <w:t>O</w:t>
      </w:r>
      <w:r w:rsidR="00031D92" w:rsidRPr="006F1786">
        <w:rPr>
          <w:sz w:val="24"/>
          <w:szCs w:val="24"/>
        </w:rPr>
        <w:t>ffers of hospitality, for example invitations to lunches and dinners, other than a light working sandwich lunch or similar during the inspection</w:t>
      </w:r>
      <w:r w:rsidR="00824549" w:rsidRPr="006F1786">
        <w:rPr>
          <w:sz w:val="24"/>
          <w:szCs w:val="24"/>
        </w:rPr>
        <w:t xml:space="preserve">. This latter practice also contributes to the </w:t>
      </w:r>
      <w:r w:rsidR="00031D92" w:rsidRPr="006F1786">
        <w:rPr>
          <w:sz w:val="24"/>
          <w:szCs w:val="24"/>
        </w:rPr>
        <w:t xml:space="preserve">effective use of </w:t>
      </w:r>
      <w:r w:rsidR="00824549" w:rsidRPr="006F1786">
        <w:rPr>
          <w:sz w:val="24"/>
          <w:szCs w:val="24"/>
        </w:rPr>
        <w:t xml:space="preserve">the inspection </w:t>
      </w:r>
      <w:r w:rsidR="00031D92" w:rsidRPr="006F1786">
        <w:rPr>
          <w:sz w:val="24"/>
          <w:szCs w:val="24"/>
        </w:rPr>
        <w:t>time and can be combined with meetings with staff and/or students</w:t>
      </w:r>
      <w:r w:rsidR="00824549" w:rsidRPr="006F1786">
        <w:rPr>
          <w:sz w:val="24"/>
          <w:szCs w:val="24"/>
        </w:rPr>
        <w:t xml:space="preserve"> if appropriate. Where possible, inspectors should offer to pay for such hospitality but not to the extent that it causes offence. </w:t>
      </w:r>
    </w:p>
    <w:p w14:paraId="0B1DEE26" w14:textId="77777777" w:rsidR="002E764C" w:rsidRDefault="002E764C" w:rsidP="00214C15">
      <w:pPr>
        <w:rPr>
          <w:sz w:val="24"/>
          <w:szCs w:val="24"/>
        </w:rPr>
      </w:pPr>
    </w:p>
    <w:p w14:paraId="4618EC59" w14:textId="34F3E17B" w:rsidR="00286B66" w:rsidRDefault="00824549" w:rsidP="00214C15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At all times, inspectors are asked to use their </w:t>
      </w:r>
      <w:r w:rsidRPr="00214C15">
        <w:rPr>
          <w:color w:val="000000"/>
          <w:sz w:val="24"/>
          <w:szCs w:val="24"/>
        </w:rPr>
        <w:t xml:space="preserve">professionalism and </w:t>
      </w:r>
      <w:r>
        <w:rPr>
          <w:color w:val="000000"/>
          <w:sz w:val="24"/>
          <w:szCs w:val="24"/>
        </w:rPr>
        <w:t xml:space="preserve">common sense to </w:t>
      </w:r>
      <w:r w:rsidRPr="00214C15">
        <w:rPr>
          <w:color w:val="000000"/>
          <w:sz w:val="24"/>
          <w:szCs w:val="24"/>
        </w:rPr>
        <w:t xml:space="preserve">decide what constitutes </w:t>
      </w:r>
      <w:r w:rsidR="006F1786">
        <w:rPr>
          <w:color w:val="000000"/>
          <w:sz w:val="24"/>
          <w:szCs w:val="24"/>
        </w:rPr>
        <w:t xml:space="preserve">acceptable gifts and </w:t>
      </w:r>
      <w:r>
        <w:rPr>
          <w:color w:val="000000"/>
          <w:sz w:val="24"/>
          <w:szCs w:val="24"/>
        </w:rPr>
        <w:t xml:space="preserve">normal </w:t>
      </w:r>
      <w:r w:rsidRPr="00214C15">
        <w:rPr>
          <w:color w:val="000000"/>
          <w:sz w:val="24"/>
          <w:szCs w:val="24"/>
        </w:rPr>
        <w:t>hospitality</w:t>
      </w:r>
      <w:r w:rsidR="00286B66">
        <w:rPr>
          <w:color w:val="000000"/>
          <w:sz w:val="24"/>
          <w:szCs w:val="24"/>
        </w:rPr>
        <w:t xml:space="preserve"> (as set out above)</w:t>
      </w:r>
      <w:r w:rsidRPr="00214C15">
        <w:rPr>
          <w:color w:val="000000"/>
          <w:sz w:val="24"/>
          <w:szCs w:val="24"/>
        </w:rPr>
        <w:t xml:space="preserve"> and what constitutes an inducement.</w:t>
      </w:r>
      <w:r w:rsidR="00286B66">
        <w:rPr>
          <w:color w:val="000000"/>
          <w:sz w:val="24"/>
          <w:szCs w:val="24"/>
        </w:rPr>
        <w:t xml:space="preserve"> They should also be aware of cultural differences in making this judgement.</w:t>
      </w:r>
    </w:p>
    <w:p w14:paraId="11A3C333" w14:textId="77777777" w:rsidR="002E764C" w:rsidRDefault="002E764C" w:rsidP="00214C15">
      <w:pPr>
        <w:rPr>
          <w:sz w:val="24"/>
          <w:szCs w:val="24"/>
        </w:rPr>
      </w:pPr>
    </w:p>
    <w:p w14:paraId="452FEB1F" w14:textId="1645DFB4" w:rsidR="00824549" w:rsidRDefault="00214C15" w:rsidP="00214C15">
      <w:pPr>
        <w:rPr>
          <w:sz w:val="24"/>
          <w:szCs w:val="24"/>
        </w:rPr>
      </w:pPr>
      <w:r w:rsidRPr="00214C15">
        <w:rPr>
          <w:sz w:val="24"/>
          <w:szCs w:val="24"/>
        </w:rPr>
        <w:t xml:space="preserve">If </w:t>
      </w:r>
      <w:r w:rsidR="00824549">
        <w:rPr>
          <w:sz w:val="24"/>
          <w:szCs w:val="24"/>
        </w:rPr>
        <w:t xml:space="preserve">anyone is in </w:t>
      </w:r>
      <w:r w:rsidRPr="00214C15">
        <w:rPr>
          <w:sz w:val="24"/>
          <w:szCs w:val="24"/>
        </w:rPr>
        <w:t>any doubt as to whether a possible act might be in breach of this policy</w:t>
      </w:r>
      <w:r w:rsidR="00824549">
        <w:rPr>
          <w:sz w:val="24"/>
          <w:szCs w:val="24"/>
        </w:rPr>
        <w:t xml:space="preserve">, </w:t>
      </w:r>
      <w:r w:rsidR="00E87F70">
        <w:rPr>
          <w:sz w:val="24"/>
          <w:szCs w:val="24"/>
        </w:rPr>
        <w:t xml:space="preserve">they must </w:t>
      </w:r>
      <w:r w:rsidR="00824549">
        <w:rPr>
          <w:sz w:val="24"/>
          <w:szCs w:val="24"/>
        </w:rPr>
        <w:t>contact the BAC head office for advice.</w:t>
      </w:r>
    </w:p>
    <w:p w14:paraId="5A5BE777" w14:textId="77777777" w:rsidR="006F1786" w:rsidRDefault="00286B66" w:rsidP="00214C15">
      <w:pPr>
        <w:rPr>
          <w:sz w:val="24"/>
          <w:szCs w:val="24"/>
        </w:rPr>
      </w:pPr>
      <w:r>
        <w:rPr>
          <w:sz w:val="24"/>
          <w:szCs w:val="24"/>
        </w:rPr>
        <w:t>Institutions to be inspected will be advised of BAC’s policy, in advance of the inspection</w:t>
      </w:r>
      <w:r w:rsidR="006F1786">
        <w:rPr>
          <w:sz w:val="24"/>
          <w:szCs w:val="24"/>
        </w:rPr>
        <w:t>.</w:t>
      </w:r>
    </w:p>
    <w:p w14:paraId="12CBACF4" w14:textId="77777777" w:rsidR="00861EE2" w:rsidRDefault="00861EE2" w:rsidP="00214C15">
      <w:pPr>
        <w:rPr>
          <w:b/>
          <w:sz w:val="24"/>
          <w:szCs w:val="24"/>
        </w:rPr>
      </w:pPr>
    </w:p>
    <w:p w14:paraId="2AB6D59F" w14:textId="77777777" w:rsidR="00903E0C" w:rsidRDefault="00AF0815" w:rsidP="00214C15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BAC</w:t>
      </w:r>
      <w:r w:rsidR="00E87F70">
        <w:rPr>
          <w:b/>
          <w:sz w:val="24"/>
          <w:szCs w:val="24"/>
        </w:rPr>
        <w:t>’s Trustees and</w:t>
      </w:r>
      <w:r>
        <w:rPr>
          <w:b/>
          <w:sz w:val="24"/>
          <w:szCs w:val="24"/>
        </w:rPr>
        <w:t xml:space="preserve"> employees, </w:t>
      </w:r>
      <w:r w:rsidR="00410849" w:rsidRPr="00AF0815">
        <w:rPr>
          <w:b/>
          <w:sz w:val="24"/>
          <w:szCs w:val="24"/>
        </w:rPr>
        <w:t>such inducements</w:t>
      </w:r>
      <w:r w:rsidR="00903E0C" w:rsidRPr="00AF0815">
        <w:rPr>
          <w:b/>
          <w:sz w:val="24"/>
          <w:szCs w:val="24"/>
        </w:rPr>
        <w:t xml:space="preserve"> would include the following:</w:t>
      </w:r>
    </w:p>
    <w:p w14:paraId="432E0B74" w14:textId="77777777" w:rsidR="00861EE2" w:rsidRPr="00AF0815" w:rsidRDefault="00861EE2" w:rsidP="00214C15">
      <w:pPr>
        <w:rPr>
          <w:b/>
          <w:sz w:val="24"/>
          <w:szCs w:val="24"/>
        </w:rPr>
      </w:pPr>
    </w:p>
    <w:p w14:paraId="587A410C" w14:textId="77777777" w:rsidR="00903E0C" w:rsidRDefault="00903E0C" w:rsidP="00903E0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1786">
        <w:rPr>
          <w:sz w:val="24"/>
          <w:szCs w:val="24"/>
        </w:rPr>
        <w:t>The acceptance of gifts, other than low value gifts such as branded p</w:t>
      </w:r>
      <w:r>
        <w:rPr>
          <w:sz w:val="24"/>
          <w:szCs w:val="24"/>
        </w:rPr>
        <w:t>ens, notebooks and coffee mugs</w:t>
      </w:r>
    </w:p>
    <w:p w14:paraId="651E5661" w14:textId="77777777" w:rsidR="00903E0C" w:rsidRDefault="00903E0C" w:rsidP="00903E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acceptance of any financial inducement</w:t>
      </w:r>
    </w:p>
    <w:p w14:paraId="57E4AC17" w14:textId="77777777" w:rsidR="000E55AB" w:rsidRPr="006F1786" w:rsidRDefault="000E55AB" w:rsidP="000E55A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offer of </w:t>
      </w:r>
      <w:r w:rsidR="00410849">
        <w:rPr>
          <w:sz w:val="24"/>
          <w:szCs w:val="24"/>
        </w:rPr>
        <w:t>consultancy work whilst employed by BAC</w:t>
      </w:r>
      <w:r w:rsidR="00E87F70">
        <w:rPr>
          <w:sz w:val="24"/>
          <w:szCs w:val="24"/>
        </w:rPr>
        <w:t xml:space="preserve"> (employees only)</w:t>
      </w:r>
    </w:p>
    <w:p w14:paraId="7AAADAEC" w14:textId="77777777" w:rsidR="00903E0C" w:rsidRPr="006F1786" w:rsidRDefault="00236AC8" w:rsidP="00903E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Excessive offers of hospitality such as trips and events beyond the immediate needs of business requirements.  Business lunch and dinners would be considered acceptable for business development purposes</w:t>
      </w:r>
    </w:p>
    <w:p w14:paraId="37C93FF8" w14:textId="77777777" w:rsidR="002E764C" w:rsidRDefault="002E764C" w:rsidP="00AF0815">
      <w:pPr>
        <w:rPr>
          <w:sz w:val="24"/>
          <w:szCs w:val="24"/>
        </w:rPr>
      </w:pPr>
    </w:p>
    <w:p w14:paraId="079D9782" w14:textId="528447F4" w:rsidR="00AF0815" w:rsidRDefault="00AF0815" w:rsidP="00AF0815">
      <w:pPr>
        <w:rPr>
          <w:color w:val="000000"/>
          <w:sz w:val="24"/>
          <w:szCs w:val="24"/>
        </w:rPr>
      </w:pPr>
      <w:r>
        <w:rPr>
          <w:sz w:val="24"/>
          <w:szCs w:val="24"/>
        </w:rPr>
        <w:t>At all times, BAC</w:t>
      </w:r>
      <w:r w:rsidR="00E87F70">
        <w:rPr>
          <w:sz w:val="24"/>
          <w:szCs w:val="24"/>
        </w:rPr>
        <w:t>’s Trustees and</w:t>
      </w:r>
      <w:r>
        <w:rPr>
          <w:sz w:val="24"/>
          <w:szCs w:val="24"/>
        </w:rPr>
        <w:t xml:space="preserve"> staff are asked to use their </w:t>
      </w:r>
      <w:r w:rsidRPr="00214C15">
        <w:rPr>
          <w:color w:val="000000"/>
          <w:sz w:val="24"/>
          <w:szCs w:val="24"/>
        </w:rPr>
        <w:t xml:space="preserve">professionalism and </w:t>
      </w:r>
      <w:r>
        <w:rPr>
          <w:color w:val="000000"/>
          <w:sz w:val="24"/>
          <w:szCs w:val="24"/>
        </w:rPr>
        <w:t xml:space="preserve">common sense to </w:t>
      </w:r>
      <w:r w:rsidRPr="00214C15">
        <w:rPr>
          <w:color w:val="000000"/>
          <w:sz w:val="24"/>
          <w:szCs w:val="24"/>
        </w:rPr>
        <w:t xml:space="preserve">decide what constitutes </w:t>
      </w:r>
      <w:r>
        <w:rPr>
          <w:color w:val="000000"/>
          <w:sz w:val="24"/>
          <w:szCs w:val="24"/>
        </w:rPr>
        <w:t xml:space="preserve">acceptable gifts and normal </w:t>
      </w:r>
      <w:r w:rsidRPr="00214C15">
        <w:rPr>
          <w:color w:val="000000"/>
          <w:sz w:val="24"/>
          <w:szCs w:val="24"/>
        </w:rPr>
        <w:t>hospitality</w:t>
      </w:r>
      <w:r>
        <w:rPr>
          <w:color w:val="000000"/>
          <w:sz w:val="24"/>
          <w:szCs w:val="24"/>
        </w:rPr>
        <w:t xml:space="preserve"> (as set out above)</w:t>
      </w:r>
      <w:r w:rsidRPr="00214C15">
        <w:rPr>
          <w:color w:val="000000"/>
          <w:sz w:val="24"/>
          <w:szCs w:val="24"/>
        </w:rPr>
        <w:t xml:space="preserve"> and what constitutes an inducement.</w:t>
      </w:r>
      <w:r>
        <w:rPr>
          <w:color w:val="000000"/>
          <w:sz w:val="24"/>
          <w:szCs w:val="24"/>
        </w:rPr>
        <w:t xml:space="preserve"> They should also be aware of cultural differences in making this judgement.</w:t>
      </w:r>
    </w:p>
    <w:p w14:paraId="4B924224" w14:textId="77777777" w:rsidR="002E764C" w:rsidRDefault="002E764C" w:rsidP="00AF0815">
      <w:pPr>
        <w:rPr>
          <w:sz w:val="24"/>
          <w:szCs w:val="24"/>
        </w:rPr>
      </w:pPr>
    </w:p>
    <w:p w14:paraId="43CA0ECC" w14:textId="3EA7EF40" w:rsidR="00AF0815" w:rsidRDefault="00AF0815" w:rsidP="00AF0815">
      <w:pPr>
        <w:rPr>
          <w:sz w:val="24"/>
          <w:szCs w:val="24"/>
        </w:rPr>
      </w:pPr>
      <w:r w:rsidRPr="00214C15">
        <w:rPr>
          <w:sz w:val="24"/>
          <w:szCs w:val="24"/>
        </w:rPr>
        <w:t xml:space="preserve">If </w:t>
      </w:r>
      <w:r>
        <w:rPr>
          <w:sz w:val="24"/>
          <w:szCs w:val="24"/>
        </w:rPr>
        <w:t xml:space="preserve">anyone is in </w:t>
      </w:r>
      <w:r w:rsidRPr="00214C15">
        <w:rPr>
          <w:sz w:val="24"/>
          <w:szCs w:val="24"/>
        </w:rPr>
        <w:t>any doubt as to whether a possible act might be in breach of this policy</w:t>
      </w:r>
      <w:r>
        <w:rPr>
          <w:sz w:val="24"/>
          <w:szCs w:val="24"/>
        </w:rPr>
        <w:t xml:space="preserve">, </w:t>
      </w:r>
      <w:r w:rsidR="00E87F70">
        <w:rPr>
          <w:sz w:val="24"/>
          <w:szCs w:val="24"/>
        </w:rPr>
        <w:t>they must</w:t>
      </w:r>
      <w:r>
        <w:rPr>
          <w:sz w:val="24"/>
          <w:szCs w:val="24"/>
        </w:rPr>
        <w:t xml:space="preserve"> contact the BAC head office for advice.</w:t>
      </w:r>
    </w:p>
    <w:p w14:paraId="39A68745" w14:textId="77777777" w:rsidR="00AF0815" w:rsidRDefault="00AF0815" w:rsidP="00AF0815">
      <w:pPr>
        <w:rPr>
          <w:sz w:val="24"/>
          <w:szCs w:val="24"/>
        </w:rPr>
      </w:pPr>
    </w:p>
    <w:p w14:paraId="3EBD79E0" w14:textId="34F33CC7" w:rsidR="002E764C" w:rsidRDefault="00AF0815" w:rsidP="00AF081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BAC </w:t>
      </w:r>
      <w:r w:rsidRPr="00214C15">
        <w:rPr>
          <w:sz w:val="24"/>
          <w:szCs w:val="24"/>
        </w:rPr>
        <w:t>will investigate thoroughly any actual or suspected breach of this policy</w:t>
      </w:r>
      <w:r>
        <w:rPr>
          <w:sz w:val="24"/>
          <w:szCs w:val="24"/>
        </w:rPr>
        <w:t xml:space="preserve"> or the spirit of this policy and appropriate action will be taken as required.</w:t>
      </w:r>
    </w:p>
    <w:p w14:paraId="4B34CC6B" w14:textId="77777777" w:rsidR="002E764C" w:rsidRDefault="002E764C" w:rsidP="00AF0815">
      <w:pPr>
        <w:rPr>
          <w:b/>
          <w:sz w:val="24"/>
          <w:szCs w:val="24"/>
          <w:u w:val="single"/>
        </w:rPr>
      </w:pPr>
    </w:p>
    <w:p w14:paraId="7566DBBD" w14:textId="05F96217" w:rsidR="00D6434A" w:rsidRDefault="00D6434A" w:rsidP="00AF0815">
      <w:pPr>
        <w:rPr>
          <w:b/>
          <w:sz w:val="24"/>
          <w:szCs w:val="24"/>
          <w:u w:val="single"/>
        </w:rPr>
      </w:pPr>
      <w:r w:rsidRPr="00D6434A">
        <w:rPr>
          <w:b/>
          <w:sz w:val="24"/>
          <w:szCs w:val="24"/>
          <w:u w:val="single"/>
        </w:rPr>
        <w:t>Whistleblowing</w:t>
      </w:r>
    </w:p>
    <w:p w14:paraId="0608E649" w14:textId="77777777" w:rsidR="00D6434A" w:rsidRDefault="00D6434A" w:rsidP="00AF0815">
      <w:pPr>
        <w:rPr>
          <w:b/>
          <w:sz w:val="24"/>
          <w:szCs w:val="24"/>
          <w:u w:val="single"/>
        </w:rPr>
      </w:pPr>
    </w:p>
    <w:p w14:paraId="1E77457B" w14:textId="77777777" w:rsidR="00D6434A" w:rsidRPr="00D6434A" w:rsidRDefault="00D6434A" w:rsidP="00AF0815">
      <w:pPr>
        <w:rPr>
          <w:sz w:val="24"/>
          <w:szCs w:val="24"/>
        </w:rPr>
      </w:pPr>
      <w:r w:rsidRPr="00D6434A">
        <w:rPr>
          <w:sz w:val="24"/>
          <w:szCs w:val="24"/>
        </w:rPr>
        <w:t>Inspectors or employees who believe that a breach of this policy has occurred or is likely</w:t>
      </w:r>
      <w:r>
        <w:rPr>
          <w:sz w:val="24"/>
          <w:szCs w:val="24"/>
        </w:rPr>
        <w:t xml:space="preserve"> to occur</w:t>
      </w:r>
      <w:r w:rsidRPr="00D6434A">
        <w:rPr>
          <w:sz w:val="24"/>
          <w:szCs w:val="24"/>
        </w:rPr>
        <w:t xml:space="preserve"> must report this, in the first instance, to the Chief Executive.</w:t>
      </w:r>
    </w:p>
    <w:p w14:paraId="60B133AF" w14:textId="77777777" w:rsidR="00861EE2" w:rsidRDefault="00861EE2" w:rsidP="00214C15">
      <w:pPr>
        <w:rPr>
          <w:b/>
          <w:sz w:val="24"/>
          <w:szCs w:val="24"/>
          <w:u w:val="single"/>
        </w:rPr>
      </w:pPr>
    </w:p>
    <w:p w14:paraId="09189CAA" w14:textId="77777777" w:rsidR="00903E0C" w:rsidRDefault="003D5B54" w:rsidP="00214C15">
      <w:pPr>
        <w:rPr>
          <w:b/>
          <w:sz w:val="24"/>
          <w:szCs w:val="24"/>
          <w:u w:val="single"/>
        </w:rPr>
      </w:pPr>
      <w:r w:rsidRPr="003D5B54">
        <w:rPr>
          <w:b/>
          <w:sz w:val="24"/>
          <w:szCs w:val="24"/>
          <w:u w:val="single"/>
        </w:rPr>
        <w:t>Institution to Institution Gifts</w:t>
      </w:r>
    </w:p>
    <w:p w14:paraId="103EE24E" w14:textId="77777777" w:rsidR="00861EE2" w:rsidRPr="003D5B54" w:rsidRDefault="00861EE2" w:rsidP="00214C15">
      <w:pPr>
        <w:rPr>
          <w:b/>
          <w:sz w:val="24"/>
          <w:szCs w:val="24"/>
          <w:u w:val="single"/>
        </w:rPr>
      </w:pPr>
    </w:p>
    <w:p w14:paraId="577C74D2" w14:textId="77777777" w:rsidR="003D5B54" w:rsidRDefault="003D5B54" w:rsidP="00214C15">
      <w:pPr>
        <w:rPr>
          <w:sz w:val="24"/>
          <w:szCs w:val="24"/>
        </w:rPr>
      </w:pPr>
      <w:r>
        <w:rPr>
          <w:sz w:val="24"/>
          <w:szCs w:val="24"/>
        </w:rPr>
        <w:t xml:space="preserve">It is common amongst certain cultures to exchange institution to institution gifts, normally cultural </w:t>
      </w:r>
      <w:r w:rsidR="00D6434A">
        <w:rPr>
          <w:sz w:val="24"/>
          <w:szCs w:val="24"/>
        </w:rPr>
        <w:t xml:space="preserve">or </w:t>
      </w:r>
      <w:r>
        <w:rPr>
          <w:sz w:val="24"/>
          <w:szCs w:val="24"/>
        </w:rPr>
        <w:t>academic artefacts.  These are acceptable provided they are displayed and stored within BAC premises</w:t>
      </w:r>
    </w:p>
    <w:p w14:paraId="5C9A75C1" w14:textId="77777777" w:rsidR="00861EE2" w:rsidRDefault="00861EE2" w:rsidP="00824549">
      <w:pPr>
        <w:rPr>
          <w:rFonts w:eastAsia="Times New Roman"/>
          <w:b/>
          <w:sz w:val="24"/>
          <w:szCs w:val="24"/>
          <w:u w:val="single"/>
        </w:rPr>
      </w:pPr>
    </w:p>
    <w:p w14:paraId="2CA4424F" w14:textId="77777777" w:rsidR="00824549" w:rsidRPr="00824549" w:rsidRDefault="00824549" w:rsidP="00824549">
      <w:pPr>
        <w:rPr>
          <w:rFonts w:eastAsia="Times New Roman"/>
          <w:sz w:val="24"/>
          <w:szCs w:val="24"/>
        </w:rPr>
      </w:pPr>
      <w:r w:rsidRPr="00824549">
        <w:rPr>
          <w:rFonts w:eastAsia="Times New Roman"/>
          <w:b/>
          <w:sz w:val="24"/>
          <w:szCs w:val="24"/>
          <w:u w:val="single"/>
        </w:rPr>
        <w:t>Monitoring</w:t>
      </w:r>
    </w:p>
    <w:p w14:paraId="34909855" w14:textId="77777777" w:rsidR="00824549" w:rsidRPr="00824549" w:rsidRDefault="00824549" w:rsidP="00824549">
      <w:pPr>
        <w:shd w:val="clear" w:color="auto" w:fill="FFFFFF"/>
        <w:rPr>
          <w:rFonts w:eastAsia="Times New Roman" w:cs="Arial"/>
          <w:sz w:val="24"/>
          <w:szCs w:val="24"/>
          <w:lang w:eastAsia="en-GB"/>
        </w:rPr>
      </w:pPr>
      <w:r w:rsidRPr="00824549">
        <w:rPr>
          <w:rFonts w:eastAsia="Times New Roman" w:cs="Arial"/>
          <w:sz w:val="24"/>
          <w:szCs w:val="24"/>
          <w:lang w:eastAsia="en-GB"/>
        </w:rPr>
        <w:t>The effectiveness of this policy will be</w:t>
      </w:r>
      <w:r>
        <w:rPr>
          <w:rFonts w:eastAsia="Times New Roman" w:cs="Arial"/>
          <w:sz w:val="24"/>
          <w:szCs w:val="24"/>
          <w:lang w:eastAsia="en-GB"/>
        </w:rPr>
        <w:t xml:space="preserve"> reviewed annually by the Council and up-dated as required. </w:t>
      </w:r>
      <w:r w:rsidRPr="00824549">
        <w:rPr>
          <w:rFonts w:eastAsia="Times New Roman" w:cs="Arial"/>
          <w:sz w:val="24"/>
          <w:szCs w:val="24"/>
          <w:lang w:eastAsia="en-GB"/>
        </w:rPr>
        <w:t xml:space="preserve">Internal control systems and procedures will be subject to audit </w:t>
      </w:r>
      <w:r w:rsidR="00286B66">
        <w:rPr>
          <w:rFonts w:eastAsia="Times New Roman" w:cs="Arial"/>
          <w:sz w:val="24"/>
          <w:szCs w:val="24"/>
          <w:lang w:eastAsia="en-GB"/>
        </w:rPr>
        <w:t xml:space="preserve">by the Audit Committee. </w:t>
      </w:r>
      <w:r w:rsidRPr="00824549">
        <w:rPr>
          <w:rFonts w:eastAsia="Times New Roman" w:cs="Arial"/>
          <w:sz w:val="24"/>
          <w:szCs w:val="24"/>
          <w:lang w:eastAsia="en-GB"/>
        </w:rPr>
        <w:t> </w:t>
      </w:r>
    </w:p>
    <w:p w14:paraId="2A30C13C" w14:textId="77777777" w:rsidR="00B65D08" w:rsidRPr="00214C15" w:rsidRDefault="00B65D08" w:rsidP="00B65D08">
      <w:pPr>
        <w:rPr>
          <w:b/>
          <w:sz w:val="24"/>
          <w:szCs w:val="24"/>
          <w:u w:val="single"/>
        </w:rPr>
      </w:pPr>
    </w:p>
    <w:p w14:paraId="2B71D1CC" w14:textId="77777777" w:rsidR="00533B3A" w:rsidRPr="00533B3A" w:rsidRDefault="00533B3A" w:rsidP="00533B3A">
      <w:pPr>
        <w:rPr>
          <w:sz w:val="24"/>
          <w:szCs w:val="24"/>
        </w:rPr>
      </w:pPr>
      <w:r w:rsidRPr="00533B3A">
        <w:rPr>
          <w:sz w:val="24"/>
          <w:szCs w:val="24"/>
        </w:rPr>
        <w:t> </w:t>
      </w:r>
    </w:p>
    <w:p w14:paraId="488A3F06" w14:textId="77777777" w:rsidR="00533B3A" w:rsidRDefault="00533B3A" w:rsidP="007B6B09">
      <w:pPr>
        <w:rPr>
          <w:sz w:val="24"/>
          <w:szCs w:val="24"/>
        </w:rPr>
      </w:pPr>
    </w:p>
    <w:p w14:paraId="7AA0A0B1" w14:textId="77777777" w:rsidR="003E6BE9" w:rsidRDefault="003E6BE9" w:rsidP="00B47E67">
      <w:pPr>
        <w:rPr>
          <w:rFonts w:eastAsia="Times New Roman"/>
          <w:sz w:val="24"/>
          <w:szCs w:val="24"/>
          <w:lang w:val="en-US"/>
        </w:rPr>
      </w:pPr>
    </w:p>
    <w:p w14:paraId="7F41AC7E" w14:textId="77777777" w:rsidR="00F07BAC" w:rsidRPr="00971B51" w:rsidRDefault="00F07BAC" w:rsidP="00971B51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14:paraId="15836A44" w14:textId="77777777" w:rsidR="00971B51" w:rsidRPr="00971B51" w:rsidRDefault="00971B51" w:rsidP="007B6B09">
      <w:pPr>
        <w:rPr>
          <w:sz w:val="24"/>
          <w:szCs w:val="24"/>
        </w:rPr>
      </w:pPr>
    </w:p>
    <w:sectPr w:rsidR="00971B51" w:rsidRPr="00971B51" w:rsidSect="00D43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48E9F" w14:textId="77777777" w:rsidR="00723CB3" w:rsidRDefault="00723CB3" w:rsidP="00DD78BF">
      <w:r>
        <w:separator/>
      </w:r>
    </w:p>
  </w:endnote>
  <w:endnote w:type="continuationSeparator" w:id="0">
    <w:p w14:paraId="6E607499" w14:textId="77777777" w:rsidR="00723CB3" w:rsidRDefault="00723CB3" w:rsidP="00DD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A2836" w14:textId="77777777" w:rsidR="00EC2221" w:rsidRDefault="00EC2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823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268E24" w14:textId="7EEEF727" w:rsidR="00C532F2" w:rsidRDefault="00C532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2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3D7E3F" w14:textId="77777777" w:rsidR="00EC2221" w:rsidRDefault="00EC2221" w:rsidP="00EC2221">
    <w:pPr>
      <w:pStyle w:val="Footer"/>
    </w:pPr>
    <w:r>
      <w:t>BAC Novemb</w:t>
    </w:r>
    <w:bookmarkStart w:id="0" w:name="_GoBack"/>
    <w:bookmarkEnd w:id="0"/>
    <w:r>
      <w:t>er 2016</w:t>
    </w:r>
  </w:p>
  <w:p w14:paraId="4A7FF96A" w14:textId="77777777" w:rsidR="00DD78BF" w:rsidRDefault="00DD7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5115F" w14:textId="77777777" w:rsidR="00EC2221" w:rsidRDefault="00EC2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37460" w14:textId="77777777" w:rsidR="00723CB3" w:rsidRDefault="00723CB3" w:rsidP="00DD78BF">
      <w:r>
        <w:separator/>
      </w:r>
    </w:p>
  </w:footnote>
  <w:footnote w:type="continuationSeparator" w:id="0">
    <w:p w14:paraId="3D35D080" w14:textId="77777777" w:rsidR="00723CB3" w:rsidRDefault="00723CB3" w:rsidP="00DD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3692" w14:textId="77777777" w:rsidR="00EC2221" w:rsidRDefault="00EC2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4DA89" w14:textId="1135EE8A" w:rsidR="00D9777B" w:rsidRPr="00D8432C" w:rsidRDefault="00D9777B">
    <w:pPr>
      <w:pStyle w:val="Header"/>
      <w:rPr>
        <w:b/>
        <w:sz w:val="28"/>
        <w:szCs w:val="28"/>
      </w:rPr>
    </w:pPr>
    <w:r w:rsidRPr="00D9777B">
      <w:rPr>
        <w:rFonts w:ascii="Calibri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498F3FC" wp14:editId="1AD4D1CE">
          <wp:simplePos x="0" y="0"/>
          <wp:positionH relativeFrom="column">
            <wp:posOffset>4438650</wp:posOffset>
          </wp:positionH>
          <wp:positionV relativeFrom="paragraph">
            <wp:posOffset>-249555</wp:posOffset>
          </wp:positionV>
          <wp:extent cx="1573530" cy="101092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0BFE4" w14:textId="77777777" w:rsidR="00D9777B" w:rsidRDefault="00D977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DC32A" w14:textId="77777777" w:rsidR="00EC2221" w:rsidRDefault="00EC2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800"/>
    <w:multiLevelType w:val="multilevel"/>
    <w:tmpl w:val="C9C0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5A4BE4"/>
    <w:multiLevelType w:val="multilevel"/>
    <w:tmpl w:val="534E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704969"/>
    <w:multiLevelType w:val="hybridMultilevel"/>
    <w:tmpl w:val="F372D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B176E"/>
    <w:multiLevelType w:val="multilevel"/>
    <w:tmpl w:val="8A5C6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57B64B1"/>
    <w:multiLevelType w:val="multilevel"/>
    <w:tmpl w:val="2D1C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56"/>
    <w:rsid w:val="00031D92"/>
    <w:rsid w:val="00035D95"/>
    <w:rsid w:val="00075B67"/>
    <w:rsid w:val="0008209C"/>
    <w:rsid w:val="000E55AB"/>
    <w:rsid w:val="00191EF8"/>
    <w:rsid w:val="001A3D8C"/>
    <w:rsid w:val="001A6A32"/>
    <w:rsid w:val="00214C15"/>
    <w:rsid w:val="00236AC8"/>
    <w:rsid w:val="00285777"/>
    <w:rsid w:val="00286B66"/>
    <w:rsid w:val="002E764C"/>
    <w:rsid w:val="003035F6"/>
    <w:rsid w:val="00316C90"/>
    <w:rsid w:val="0033158F"/>
    <w:rsid w:val="003B42C5"/>
    <w:rsid w:val="003D33C3"/>
    <w:rsid w:val="003D5B54"/>
    <w:rsid w:val="003E6BE9"/>
    <w:rsid w:val="00410849"/>
    <w:rsid w:val="004168B1"/>
    <w:rsid w:val="00423AA5"/>
    <w:rsid w:val="00452AE9"/>
    <w:rsid w:val="004C3005"/>
    <w:rsid w:val="00514628"/>
    <w:rsid w:val="00533B3A"/>
    <w:rsid w:val="00567B2E"/>
    <w:rsid w:val="00575022"/>
    <w:rsid w:val="0057794E"/>
    <w:rsid w:val="005940EF"/>
    <w:rsid w:val="00610911"/>
    <w:rsid w:val="0063115E"/>
    <w:rsid w:val="00680D2A"/>
    <w:rsid w:val="006C4CDE"/>
    <w:rsid w:val="006E58B1"/>
    <w:rsid w:val="006F1786"/>
    <w:rsid w:val="00723CB3"/>
    <w:rsid w:val="007623FA"/>
    <w:rsid w:val="007B6B09"/>
    <w:rsid w:val="007C42E2"/>
    <w:rsid w:val="00824549"/>
    <w:rsid w:val="00857ADB"/>
    <w:rsid w:val="00861EE2"/>
    <w:rsid w:val="00871FF9"/>
    <w:rsid w:val="00881DDE"/>
    <w:rsid w:val="00903E0C"/>
    <w:rsid w:val="00971B51"/>
    <w:rsid w:val="00987EAF"/>
    <w:rsid w:val="009B1BCB"/>
    <w:rsid w:val="00A520C1"/>
    <w:rsid w:val="00A9784C"/>
    <w:rsid w:val="00AE5A95"/>
    <w:rsid w:val="00AF0815"/>
    <w:rsid w:val="00B01556"/>
    <w:rsid w:val="00B47E67"/>
    <w:rsid w:val="00B65D08"/>
    <w:rsid w:val="00C10D17"/>
    <w:rsid w:val="00C532F2"/>
    <w:rsid w:val="00C91A8F"/>
    <w:rsid w:val="00CA1B74"/>
    <w:rsid w:val="00CD0AB9"/>
    <w:rsid w:val="00D43209"/>
    <w:rsid w:val="00D536E8"/>
    <w:rsid w:val="00D6434A"/>
    <w:rsid w:val="00D75E9D"/>
    <w:rsid w:val="00D8432C"/>
    <w:rsid w:val="00D9157B"/>
    <w:rsid w:val="00D9777B"/>
    <w:rsid w:val="00DA7C87"/>
    <w:rsid w:val="00DC4253"/>
    <w:rsid w:val="00DD78BF"/>
    <w:rsid w:val="00DF5566"/>
    <w:rsid w:val="00E0418B"/>
    <w:rsid w:val="00E8743E"/>
    <w:rsid w:val="00E87F70"/>
    <w:rsid w:val="00E9099F"/>
    <w:rsid w:val="00EC2221"/>
    <w:rsid w:val="00F03B0D"/>
    <w:rsid w:val="00F07BAC"/>
    <w:rsid w:val="00F44809"/>
    <w:rsid w:val="00F920E4"/>
    <w:rsid w:val="00FD0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F60B9"/>
  <w15:docId w15:val="{7A181D09-8AD2-4143-8D67-25508491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5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0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57502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575022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78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8BF"/>
  </w:style>
  <w:style w:type="paragraph" w:styleId="Footer">
    <w:name w:val="footer"/>
    <w:basedOn w:val="Normal"/>
    <w:link w:val="FooterChar"/>
    <w:uiPriority w:val="99"/>
    <w:unhideWhenUsed/>
    <w:rsid w:val="00DD7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8BF"/>
  </w:style>
  <w:style w:type="paragraph" w:styleId="ListParagraph">
    <w:name w:val="List Paragraph"/>
    <w:basedOn w:val="Normal"/>
    <w:uiPriority w:val="34"/>
    <w:qFormat/>
    <w:rsid w:val="006F1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7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justice.gov.uk/downloads/legislation/bribery-act-2010-quick-start-guide.pdf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FF7628B7AC64592DED5629B9E82B3" ma:contentTypeVersion="4" ma:contentTypeDescription="Create a new document." ma:contentTypeScope="" ma:versionID="d8db713ae532978ff176286fe22c7c97">
  <xsd:schema xmlns:xsd="http://www.w3.org/2001/XMLSchema" xmlns:xs="http://www.w3.org/2001/XMLSchema" xmlns:p="http://schemas.microsoft.com/office/2006/metadata/properties" xmlns:ns2="67079e26-be37-4db0-8b07-39bb44c7f625" targetNamespace="http://schemas.microsoft.com/office/2006/metadata/properties" ma:root="true" ma:fieldsID="95b5872fd999467475e244740dbec404" ns2:_="">
    <xsd:import namespace="67079e26-be37-4db0-8b07-39bb44c7f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79e26-be37-4db0-8b07-39bb44c7f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DBAF8-35A7-4DF3-A716-CD9CE89E39B7}"/>
</file>

<file path=customXml/itemProps2.xml><?xml version="1.0" encoding="utf-8"?>
<ds:datastoreItem xmlns:ds="http://schemas.openxmlformats.org/officeDocument/2006/customXml" ds:itemID="{A502E5DC-B2D1-4333-8449-116E75A3B9AD}"/>
</file>

<file path=customXml/itemProps3.xml><?xml version="1.0" encoding="utf-8"?>
<ds:datastoreItem xmlns:ds="http://schemas.openxmlformats.org/officeDocument/2006/customXml" ds:itemID="{4ED3B3BF-1A29-4A39-97A3-53A5F18D0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Morriss</dc:creator>
  <cp:lastModifiedBy>Diana Morriss</cp:lastModifiedBy>
  <cp:revision>12</cp:revision>
  <cp:lastPrinted>2016-11-29T11:55:00Z</cp:lastPrinted>
  <dcterms:created xsi:type="dcterms:W3CDTF">2016-12-01T17:27:00Z</dcterms:created>
  <dcterms:modified xsi:type="dcterms:W3CDTF">2017-01-11T16:54:00Z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0x010100A87FF7628B7AC64592DED5629B9E82B3</vt:lpwstr>
  </property>
  <property fmtid="{D5CDD505-2E9C-101B-9397-08002B2CF9AE}" pid="3" name="Order">
    <vt:r8>764400</vt:r8>
  </property>
</Properties>
</file>